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E1BF79" w14:textId="77777777" w:rsidR="008B5DB4" w:rsidRPr="008B5DB4" w:rsidRDefault="008B5DB4" w:rsidP="008B5DB4">
      <w:pPr>
        <w:shd w:val="clear" w:color="auto" w:fill="FFFFFF"/>
        <w:spacing w:after="0" w:line="690" w:lineRule="atLeast"/>
        <w:outlineLvl w:val="1"/>
        <w:rPr>
          <w:rFonts w:ascii="Arial" w:eastAsia="Times New Roman" w:hAnsi="Arial" w:cs="Arial"/>
          <w:b/>
          <w:bCs/>
          <w:color w:val="0D3C70"/>
          <w:sz w:val="60"/>
          <w:szCs w:val="60"/>
          <w:lang w:eastAsia="en-ZA"/>
        </w:rPr>
      </w:pPr>
      <w:r w:rsidRPr="008B5DB4">
        <w:rPr>
          <w:rFonts w:ascii="Arial" w:eastAsia="Times New Roman" w:hAnsi="Arial" w:cs="Arial"/>
          <w:b/>
          <w:bCs/>
          <w:color w:val="0D3C70"/>
          <w:sz w:val="60"/>
          <w:szCs w:val="60"/>
          <w:lang w:eastAsia="en-ZA"/>
        </w:rPr>
        <w:t>Addressing TBML Remains Difficult; Corrosive to Developing Economies, New Publication Finds</w:t>
      </w:r>
    </w:p>
    <w:p w14:paraId="2F7B5B80" w14:textId="77777777" w:rsidR="008B5DB4" w:rsidRPr="008B5DB4" w:rsidRDefault="008B5DB4" w:rsidP="008B5DB4">
      <w:pPr>
        <w:shd w:val="clear" w:color="auto" w:fill="FFFFFF"/>
        <w:spacing w:after="0" w:line="450" w:lineRule="atLeast"/>
        <w:rPr>
          <w:rFonts w:ascii="Arial" w:eastAsia="Times New Roman" w:hAnsi="Arial" w:cs="Arial"/>
          <w:b/>
          <w:bCs/>
          <w:color w:val="363636"/>
          <w:sz w:val="21"/>
          <w:szCs w:val="21"/>
          <w:lang w:eastAsia="en-ZA"/>
        </w:rPr>
      </w:pPr>
      <w:r w:rsidRPr="008B5DB4">
        <w:rPr>
          <w:rFonts w:ascii="Verdana" w:eastAsia="Times New Roman" w:hAnsi="Verdana" w:cs="Arial"/>
          <w:b/>
          <w:bCs/>
          <w:color w:val="000000"/>
          <w:spacing w:val="36"/>
          <w:sz w:val="17"/>
          <w:szCs w:val="17"/>
          <w:lang w:eastAsia="en-ZA"/>
        </w:rPr>
        <w:t>  </w:t>
      </w:r>
      <w:r w:rsidRPr="008B5DB4">
        <w:rPr>
          <w:rFonts w:ascii="Arial" w:eastAsia="Times New Roman" w:hAnsi="Arial" w:cs="Arial"/>
          <w:b/>
          <w:bCs/>
          <w:color w:val="363636"/>
          <w:spacing w:val="36"/>
          <w:sz w:val="21"/>
          <w:szCs w:val="21"/>
          <w:lang w:eastAsia="en-ZA"/>
        </w:rPr>
        <w:t>SHARE</w:t>
      </w:r>
    </w:p>
    <w:p w14:paraId="2A720F79" w14:textId="77777777" w:rsidR="008B5DB4" w:rsidRPr="008B5DB4" w:rsidRDefault="008B5DB4" w:rsidP="008B5DB4">
      <w:pPr>
        <w:shd w:val="clear" w:color="auto" w:fill="FFFFFF"/>
        <w:spacing w:after="0" w:line="390" w:lineRule="atLeast"/>
        <w:rPr>
          <w:rFonts w:ascii="Arial" w:eastAsia="Times New Roman" w:hAnsi="Arial" w:cs="Arial"/>
          <w:b/>
          <w:bCs/>
          <w:color w:val="0D3C70"/>
          <w:sz w:val="30"/>
          <w:szCs w:val="30"/>
          <w:lang w:eastAsia="en-ZA"/>
        </w:rPr>
      </w:pPr>
      <w:r w:rsidRPr="008B5DB4">
        <w:rPr>
          <w:rFonts w:ascii="Arial" w:eastAsia="Times New Roman" w:hAnsi="Arial" w:cs="Arial"/>
          <w:b/>
          <w:bCs/>
          <w:color w:val="0D3C70"/>
          <w:sz w:val="30"/>
          <w:szCs w:val="30"/>
          <w:lang w:eastAsia="en-ZA"/>
        </w:rPr>
        <w:t>February 2, 2023</w:t>
      </w:r>
    </w:p>
    <w:p w14:paraId="65042817" w14:textId="77777777" w:rsidR="00D71902" w:rsidRDefault="008B5DB4" w:rsidP="008B5DB4">
      <w:pPr>
        <w:shd w:val="clear" w:color="auto" w:fill="FFFFFF"/>
        <w:spacing w:after="0" w:line="450" w:lineRule="atLeast"/>
        <w:rPr>
          <w:rFonts w:ascii="Arial" w:eastAsia="Times New Roman" w:hAnsi="Arial" w:cs="Arial"/>
          <w:color w:val="363636"/>
          <w:sz w:val="30"/>
          <w:szCs w:val="30"/>
          <w:lang w:eastAsia="en-ZA"/>
        </w:rPr>
      </w:pPr>
      <w:r w:rsidRPr="008B5DB4">
        <w:rPr>
          <w:rFonts w:ascii="Arial" w:eastAsia="Times New Roman" w:hAnsi="Arial" w:cs="Arial"/>
          <w:b/>
          <w:bCs/>
          <w:color w:val="575757"/>
          <w:sz w:val="30"/>
          <w:szCs w:val="30"/>
          <w:lang w:eastAsia="en-ZA"/>
        </w:rPr>
        <w:t>Washington, DC @IllicitFlows –</w:t>
      </w:r>
      <w:r w:rsidRPr="008B5DB4">
        <w:rPr>
          <w:rFonts w:ascii="Arial" w:eastAsia="Times New Roman" w:hAnsi="Arial" w:cs="Arial"/>
          <w:color w:val="363636"/>
          <w:sz w:val="30"/>
          <w:szCs w:val="30"/>
          <w:lang w:eastAsia="en-ZA"/>
        </w:rPr>
        <w:t> </w:t>
      </w:r>
    </w:p>
    <w:p w14:paraId="74C863DB" w14:textId="1A3B038E"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A new publication </w:t>
      </w:r>
      <w:proofErr w:type="spellStart"/>
      <w:r w:rsidRPr="008B5DB4">
        <w:rPr>
          <w:rFonts w:ascii="Arial" w:eastAsia="Times New Roman" w:hAnsi="Arial" w:cs="Arial"/>
          <w:color w:val="363636"/>
          <w:sz w:val="26"/>
          <w:szCs w:val="26"/>
          <w:lang w:eastAsia="en-ZA"/>
        </w:rPr>
        <w:t>analyzing</w:t>
      </w:r>
      <w:proofErr w:type="spellEnd"/>
      <w:r w:rsidRPr="008B5DB4">
        <w:rPr>
          <w:rFonts w:ascii="Arial" w:eastAsia="Times New Roman" w:hAnsi="Arial" w:cs="Arial"/>
          <w:color w:val="363636"/>
          <w:sz w:val="26"/>
          <w:szCs w:val="26"/>
          <w:lang w:eastAsia="en-ZA"/>
        </w:rPr>
        <w:t xml:space="preserve"> the scope and characteristics of global trade-based money laundering (TBML) finds that this illicit activity poses complex problems for law enforcement while also undermining global development. Indeed, while various estimates put </w:t>
      </w:r>
      <w:r w:rsidRPr="008B5DB4">
        <w:rPr>
          <w:rFonts w:ascii="Arial" w:eastAsia="Times New Roman" w:hAnsi="Arial" w:cs="Arial"/>
          <w:b/>
          <w:bCs/>
          <w:color w:val="363636"/>
          <w:sz w:val="26"/>
          <w:szCs w:val="26"/>
          <w:highlight w:val="yellow"/>
          <w:lang w:eastAsia="en-ZA"/>
        </w:rPr>
        <w:t>TBML activity in the hundreds of billions, or even trillions of dollars annually, “a comprehensive mapping of known TBML [court] cases worldwide from 2011 to 2021” identified just US$60 billion in money laundering</w:t>
      </w:r>
      <w:r w:rsidRPr="008B5DB4">
        <w:rPr>
          <w:rFonts w:ascii="Arial" w:eastAsia="Times New Roman" w:hAnsi="Arial" w:cs="Arial"/>
          <w:color w:val="363636"/>
          <w:sz w:val="26"/>
          <w:szCs w:val="26"/>
          <w:lang w:eastAsia="en-ZA"/>
        </w:rPr>
        <w:t>, according to the paper. Highlighting the development impact, the study noted that “when TBML goes unchecked, it has adverse effects on economies and societies as it perpetuates criminal activities …corruption, and tax evasion.”</w:t>
      </w:r>
    </w:p>
    <w:p w14:paraId="46ABACAA"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b/>
          <w:bCs/>
          <w:color w:val="0070C0"/>
          <w:sz w:val="26"/>
          <w:szCs w:val="26"/>
          <w:lang w:eastAsia="en-ZA"/>
        </w:rPr>
        <w:t>The paper, </w:t>
      </w:r>
      <w:r w:rsidRPr="008B5DB4">
        <w:rPr>
          <w:rFonts w:ascii="Arial" w:eastAsia="Times New Roman" w:hAnsi="Arial" w:cs="Arial"/>
          <w:b/>
          <w:bCs/>
          <w:i/>
          <w:iCs/>
          <w:color w:val="0070C0"/>
          <w:sz w:val="26"/>
          <w:szCs w:val="26"/>
          <w:lang w:eastAsia="en-ZA"/>
        </w:rPr>
        <w:t>Trade-Based Money Laundering: A Global Challenge</w:t>
      </w:r>
      <w:r w:rsidRPr="008B5DB4">
        <w:rPr>
          <w:rFonts w:ascii="Arial" w:eastAsia="Times New Roman" w:hAnsi="Arial" w:cs="Arial"/>
          <w:b/>
          <w:bCs/>
          <w:color w:val="0070C0"/>
          <w:sz w:val="26"/>
          <w:szCs w:val="26"/>
          <w:lang w:eastAsia="en-ZA"/>
        </w:rPr>
        <w:t>,</w:t>
      </w:r>
      <w:r w:rsidRPr="008B5DB4">
        <w:rPr>
          <w:rFonts w:ascii="Arial" w:eastAsia="Times New Roman" w:hAnsi="Arial" w:cs="Arial"/>
          <w:color w:val="0070C0"/>
          <w:sz w:val="26"/>
          <w:szCs w:val="26"/>
          <w:lang w:eastAsia="en-ZA"/>
        </w:rPr>
        <w:t xml:space="preserve"> </w:t>
      </w:r>
      <w:r w:rsidRPr="008B5DB4">
        <w:rPr>
          <w:rFonts w:ascii="Arial" w:eastAsia="Times New Roman" w:hAnsi="Arial" w:cs="Arial"/>
          <w:color w:val="363636"/>
          <w:sz w:val="26"/>
          <w:szCs w:val="26"/>
          <w:lang w:eastAsia="en-ZA"/>
        </w:rPr>
        <w:t xml:space="preserve">was </w:t>
      </w:r>
      <w:r w:rsidRPr="008B5DB4">
        <w:rPr>
          <w:rFonts w:ascii="Arial" w:eastAsia="Times New Roman" w:hAnsi="Arial" w:cs="Arial"/>
          <w:b/>
          <w:bCs/>
          <w:color w:val="363636"/>
          <w:sz w:val="26"/>
          <w:szCs w:val="26"/>
          <w:lang w:eastAsia="en-ZA"/>
        </w:rPr>
        <w:t xml:space="preserve">co-authored by Global Financial Integrity (GFI), </w:t>
      </w:r>
      <w:proofErr w:type="spellStart"/>
      <w:r w:rsidRPr="008B5DB4">
        <w:rPr>
          <w:rFonts w:ascii="Arial" w:eastAsia="Times New Roman" w:hAnsi="Arial" w:cs="Arial"/>
          <w:b/>
          <w:bCs/>
          <w:color w:val="363636"/>
          <w:sz w:val="26"/>
          <w:szCs w:val="26"/>
          <w:lang w:eastAsia="en-ZA"/>
        </w:rPr>
        <w:t>Fedesarrollo</w:t>
      </w:r>
      <w:proofErr w:type="spellEnd"/>
      <w:r w:rsidRPr="008B5DB4">
        <w:rPr>
          <w:rFonts w:ascii="Arial" w:eastAsia="Times New Roman" w:hAnsi="Arial" w:cs="Arial"/>
          <w:b/>
          <w:bCs/>
          <w:color w:val="363636"/>
          <w:sz w:val="26"/>
          <w:szCs w:val="26"/>
          <w:lang w:eastAsia="en-ZA"/>
        </w:rPr>
        <w:t>, Transparency International Kenya and Advocates Coalition for Development and Environment (ACODE)</w:t>
      </w:r>
      <w:r w:rsidRPr="008B5DB4">
        <w:rPr>
          <w:rFonts w:ascii="Arial" w:eastAsia="Times New Roman" w:hAnsi="Arial" w:cs="Arial"/>
          <w:color w:val="363636"/>
          <w:sz w:val="26"/>
          <w:szCs w:val="26"/>
          <w:lang w:eastAsia="en-ZA"/>
        </w:rPr>
        <w:t xml:space="preserve"> and draws on the technical and regional expertise of each of the organizations – based in the United States, Colombia, Kenya and Uganda, respectively. The study </w:t>
      </w:r>
      <w:proofErr w:type="spellStart"/>
      <w:r w:rsidRPr="008B5DB4">
        <w:rPr>
          <w:rFonts w:ascii="Arial" w:eastAsia="Times New Roman" w:hAnsi="Arial" w:cs="Arial"/>
          <w:color w:val="363636"/>
          <w:sz w:val="26"/>
          <w:szCs w:val="26"/>
          <w:lang w:eastAsia="en-ZA"/>
        </w:rPr>
        <w:t>analyzes</w:t>
      </w:r>
      <w:proofErr w:type="spellEnd"/>
      <w:r w:rsidRPr="008B5DB4">
        <w:rPr>
          <w:rFonts w:ascii="Arial" w:eastAsia="Times New Roman" w:hAnsi="Arial" w:cs="Arial"/>
          <w:color w:val="363636"/>
          <w:sz w:val="26"/>
          <w:szCs w:val="26"/>
          <w:lang w:eastAsia="en-ZA"/>
        </w:rPr>
        <w:t xml:space="preserve"> the numerous challenges of TBML from a global policy perspective.</w:t>
      </w:r>
    </w:p>
    <w:p w14:paraId="6155212D" w14:textId="77777777" w:rsidR="00D71902" w:rsidRDefault="00D71902" w:rsidP="00D71902">
      <w:pPr>
        <w:shd w:val="clear" w:color="auto" w:fill="FFFFFF"/>
        <w:spacing w:after="0" w:line="450" w:lineRule="atLeast"/>
        <w:jc w:val="both"/>
        <w:rPr>
          <w:rFonts w:ascii="Arial" w:eastAsia="Times New Roman" w:hAnsi="Arial" w:cs="Arial"/>
          <w:color w:val="363636"/>
          <w:sz w:val="26"/>
          <w:szCs w:val="26"/>
          <w:lang w:eastAsia="en-ZA"/>
        </w:rPr>
      </w:pPr>
    </w:p>
    <w:p w14:paraId="430BC302" w14:textId="6FB08116"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The publication describes TBML as “disguising the proceeds of crime [by] moving value through the use of (legitimate) trade transactions.” The report provides an in-depth analysis of the most common TBML methodologies, which include over- and under-invoicing of goods; misrepresentation of goods being </w:t>
      </w:r>
      <w:r w:rsidRPr="008B5DB4">
        <w:rPr>
          <w:rFonts w:ascii="Arial" w:eastAsia="Times New Roman" w:hAnsi="Arial" w:cs="Arial"/>
          <w:color w:val="363636"/>
          <w:sz w:val="26"/>
          <w:szCs w:val="26"/>
          <w:lang w:eastAsia="en-ZA"/>
        </w:rPr>
        <w:lastRenderedPageBreak/>
        <w:t>shipped; multiple invoicing of goods; over- and under-shipment or phantom shipments; the black market peso exchange; and the use of informal value transfer systems. Mis-invoicing was the most common methodology, representing 63 percent of cases.</w:t>
      </w:r>
    </w:p>
    <w:p w14:paraId="354507FB"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To better understand the scope and characteristics of TBML, the research team presents a comprehensive mapping of TBML cases worldwide during a 10-year period in which cases were identified using official, publicly available sources. Some 77 countries were affected by this activity. The United States, Mexico, Colombia, China and Hong Kong were among the most-affected nations.</w:t>
      </w:r>
    </w:p>
    <w:p w14:paraId="3450035F"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In terms of the underlying criminal activity that generated laundered proceeds (</w:t>
      </w:r>
      <w:proofErr w:type="spellStart"/>
      <w:r w:rsidRPr="008B5DB4">
        <w:rPr>
          <w:rFonts w:ascii="Arial" w:eastAsia="Times New Roman" w:hAnsi="Arial" w:cs="Arial"/>
          <w:color w:val="363636"/>
          <w:sz w:val="26"/>
          <w:szCs w:val="26"/>
          <w:lang w:eastAsia="en-ZA"/>
        </w:rPr>
        <w:t>i.e</w:t>
      </w:r>
      <w:proofErr w:type="spellEnd"/>
      <w:r w:rsidRPr="008B5DB4">
        <w:rPr>
          <w:rFonts w:ascii="Arial" w:eastAsia="Times New Roman" w:hAnsi="Arial" w:cs="Arial"/>
          <w:color w:val="363636"/>
          <w:sz w:val="26"/>
          <w:szCs w:val="26"/>
          <w:lang w:eastAsia="en-ZA"/>
        </w:rPr>
        <w:t xml:space="preserve"> the predicate offenses), the most common included drug trafficking (43 percent of all predicate offenses mentioned), tax evasion/tax fraud (18 percent), other fraud or scams (7 percent) and corruption (6 percent). The report found that almost any type of merchandise can be purchased to launder illicit proceeds used in TBML schemes. The most common included cars/transportation vehicles (24 percent of all types of products mentioned), metals and minerals (17 percent), agricultural products (13 percent), and textiles (11 percent).</w:t>
      </w:r>
    </w:p>
    <w:p w14:paraId="7C9E2F85" w14:textId="77777777"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The report concludes with an analysis of current policy efforts as well as recommendations for ways to bolster the fight against TBML going forward. These recommendations include:</w:t>
      </w:r>
    </w:p>
    <w:p w14:paraId="5B92039E"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Conduct education campaigns and raise awareness of TBML and its risk factors. </w:t>
      </w:r>
    </w:p>
    <w:p w14:paraId="0BA19972"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Convene inter-agency task forces, since combating TBML requires close coordination among numerous government agencies.</w:t>
      </w:r>
    </w:p>
    <w:p w14:paraId="5188641C"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Implement national beneficial ownership registries </w:t>
      </w:r>
      <w:proofErr w:type="gramStart"/>
      <w:r w:rsidRPr="008B5DB4">
        <w:rPr>
          <w:rFonts w:ascii="Arial" w:eastAsia="Times New Roman" w:hAnsi="Arial" w:cs="Arial"/>
          <w:color w:val="363636"/>
          <w:sz w:val="26"/>
          <w:szCs w:val="26"/>
          <w:lang w:eastAsia="en-ZA"/>
        </w:rPr>
        <w:t>as a means to</w:t>
      </w:r>
      <w:proofErr w:type="gramEnd"/>
      <w:r w:rsidRPr="008B5DB4">
        <w:rPr>
          <w:rFonts w:ascii="Arial" w:eastAsia="Times New Roman" w:hAnsi="Arial" w:cs="Arial"/>
          <w:color w:val="363636"/>
          <w:sz w:val="26"/>
          <w:szCs w:val="26"/>
          <w:lang w:eastAsia="en-ZA"/>
        </w:rPr>
        <w:t xml:space="preserve"> prevent shell and front companies, a common thread in TBML cases worldwide.</w:t>
      </w:r>
    </w:p>
    <w:p w14:paraId="78755AC3"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Ensure that beneficial ownership information extends to trade, especially foreign companies doing business in the country and shipping companies involved in international trade.</w:t>
      </w:r>
    </w:p>
    <w:p w14:paraId="4927EDD0"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While efforts have been made to strengthen international information exchange, ensure that this information exchange occurs in real time so that importing and exporting countries can respond more quickly. </w:t>
      </w:r>
    </w:p>
    <w:p w14:paraId="1BDB31E3"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Utilize new technologies to assess pricing of trade transactions, especially since </w:t>
      </w:r>
      <w:proofErr w:type="spellStart"/>
      <w:r w:rsidRPr="008B5DB4">
        <w:rPr>
          <w:rFonts w:ascii="Arial" w:eastAsia="Times New Roman" w:hAnsi="Arial" w:cs="Arial"/>
          <w:color w:val="363636"/>
          <w:sz w:val="26"/>
          <w:szCs w:val="26"/>
          <w:lang w:eastAsia="en-ZA"/>
        </w:rPr>
        <w:t>misinvoicing</w:t>
      </w:r>
      <w:proofErr w:type="spellEnd"/>
      <w:r w:rsidRPr="008B5DB4">
        <w:rPr>
          <w:rFonts w:ascii="Arial" w:eastAsia="Times New Roman" w:hAnsi="Arial" w:cs="Arial"/>
          <w:color w:val="363636"/>
          <w:sz w:val="26"/>
          <w:szCs w:val="26"/>
          <w:lang w:eastAsia="en-ZA"/>
        </w:rPr>
        <w:t xml:space="preserve"> was one of the most common methods of TBML identified. </w:t>
      </w:r>
    </w:p>
    <w:p w14:paraId="43158577"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Ensure that national anti-corruption strategies cover international trade and ports. </w:t>
      </w:r>
    </w:p>
    <w:p w14:paraId="2BAE0252"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Strengthen supervision over free trade zones, which may have simplified tax processes but should nonetheless have appropriate, robust measures in place to combat TBML. </w:t>
      </w:r>
    </w:p>
    <w:p w14:paraId="4D9BC055" w14:textId="77777777" w:rsidR="008B5DB4" w:rsidRPr="008B5DB4" w:rsidRDefault="008B5DB4" w:rsidP="00D71902">
      <w:pPr>
        <w:numPr>
          <w:ilvl w:val="0"/>
          <w:numId w:val="1"/>
        </w:numPr>
        <w:shd w:val="clear" w:color="auto" w:fill="FFFFFF"/>
        <w:spacing w:after="0" w:line="450" w:lineRule="atLeast"/>
        <w:ind w:left="375"/>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Since customs agencies are on the frontline in the fight against TBML, ensure that they have the adequate financial, human, and technological resources to do their job effectively.</w:t>
      </w:r>
    </w:p>
    <w:p w14:paraId="4D95321E" w14:textId="77777777" w:rsidR="00D71902"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color w:val="363636"/>
          <w:sz w:val="26"/>
          <w:szCs w:val="26"/>
          <w:lang w:eastAsia="en-ZA"/>
        </w:rPr>
        <w:t xml:space="preserve">This publication was produced as part of </w:t>
      </w:r>
      <w:r w:rsidRPr="008B5DB4">
        <w:rPr>
          <w:rFonts w:ascii="Arial" w:eastAsia="Times New Roman" w:hAnsi="Arial" w:cs="Arial"/>
          <w:b/>
          <w:bCs/>
          <w:color w:val="363636"/>
          <w:sz w:val="26"/>
          <w:szCs w:val="26"/>
          <w:lang w:eastAsia="en-ZA"/>
        </w:rPr>
        <w:t>Capacity Building to Address Illicit Financial Flows and Boost Domestic Resource Mobilization,</w:t>
      </w:r>
      <w:r w:rsidRPr="008B5DB4">
        <w:rPr>
          <w:rFonts w:ascii="Arial" w:eastAsia="Times New Roman" w:hAnsi="Arial" w:cs="Arial"/>
          <w:color w:val="363636"/>
          <w:sz w:val="26"/>
          <w:szCs w:val="26"/>
          <w:lang w:eastAsia="en-ZA"/>
        </w:rPr>
        <w:t xml:space="preserve"> a project implemented by </w:t>
      </w:r>
      <w:r w:rsidRPr="008B5DB4">
        <w:rPr>
          <w:rFonts w:ascii="Arial" w:eastAsia="Times New Roman" w:hAnsi="Arial" w:cs="Arial"/>
          <w:b/>
          <w:bCs/>
          <w:color w:val="363636"/>
          <w:sz w:val="26"/>
          <w:szCs w:val="26"/>
          <w:lang w:eastAsia="en-ZA"/>
        </w:rPr>
        <w:t>Global Financial Integrity in partnership with leading civil society organizations in Kenya, Uganda and Colombia</w:t>
      </w:r>
      <w:r w:rsidRPr="008B5DB4">
        <w:rPr>
          <w:rFonts w:ascii="Arial" w:eastAsia="Times New Roman" w:hAnsi="Arial" w:cs="Arial"/>
          <w:color w:val="363636"/>
          <w:sz w:val="26"/>
          <w:szCs w:val="26"/>
          <w:lang w:eastAsia="en-ZA"/>
        </w:rPr>
        <w:t xml:space="preserve"> and with the support of the Government of </w:t>
      </w:r>
      <w:r w:rsidRPr="008B5DB4">
        <w:rPr>
          <w:rFonts w:ascii="Arial" w:eastAsia="Times New Roman" w:hAnsi="Arial" w:cs="Arial"/>
          <w:color w:val="0070C0"/>
          <w:sz w:val="26"/>
          <w:szCs w:val="26"/>
          <w:lang w:eastAsia="en-ZA"/>
        </w:rPr>
        <w:t xml:space="preserve">Norway. </w:t>
      </w:r>
    </w:p>
    <w:p w14:paraId="6B2E4DB9" w14:textId="1F59A82B" w:rsidR="008B5DB4" w:rsidRPr="008B5DB4" w:rsidRDefault="008B5DB4" w:rsidP="00D71902">
      <w:pPr>
        <w:shd w:val="clear" w:color="auto" w:fill="FFFFFF"/>
        <w:spacing w:after="0" w:line="450" w:lineRule="atLeast"/>
        <w:jc w:val="both"/>
        <w:rPr>
          <w:rFonts w:ascii="Arial" w:eastAsia="Times New Roman" w:hAnsi="Arial" w:cs="Arial"/>
          <w:color w:val="363636"/>
          <w:sz w:val="26"/>
          <w:szCs w:val="26"/>
          <w:lang w:eastAsia="en-ZA"/>
        </w:rPr>
      </w:pPr>
      <w:r w:rsidRPr="008B5DB4">
        <w:rPr>
          <w:rFonts w:ascii="Arial" w:eastAsia="Times New Roman" w:hAnsi="Arial" w:cs="Arial"/>
          <w:b/>
          <w:bCs/>
          <w:color w:val="0070C0"/>
          <w:sz w:val="26"/>
          <w:szCs w:val="26"/>
          <w:lang w:eastAsia="en-ZA"/>
        </w:rPr>
        <w:t>The project aims to curtail illicit financial flows (IFFs), which are illegal movements of money or capital from one country to another.</w:t>
      </w:r>
      <w:r w:rsidRPr="008B5DB4">
        <w:rPr>
          <w:rFonts w:ascii="Arial" w:eastAsia="Times New Roman" w:hAnsi="Arial" w:cs="Arial"/>
          <w:color w:val="0070C0"/>
          <w:sz w:val="26"/>
          <w:szCs w:val="26"/>
          <w:lang w:eastAsia="en-ZA"/>
        </w:rPr>
        <w:t xml:space="preserve"> </w:t>
      </w:r>
      <w:r w:rsidRPr="008B5DB4">
        <w:rPr>
          <w:rFonts w:ascii="Arial" w:eastAsia="Times New Roman" w:hAnsi="Arial" w:cs="Arial"/>
          <w:color w:val="363636"/>
          <w:sz w:val="26"/>
          <w:szCs w:val="26"/>
          <w:lang w:eastAsia="en-ZA"/>
        </w:rPr>
        <w:t>Left unchecked, IFFs contribute to insecurity and deprive developing countries of much-needed resources and revenues. Through research, advocacy, and capacity-building, the project raises awareness of this issue and promotes effective policy solutions that leverage the expertise of civil society, governments, and international organizations.</w:t>
      </w:r>
    </w:p>
    <w:p w14:paraId="17AC5E76" w14:textId="77777777" w:rsidR="00144B57" w:rsidRDefault="00144B57"/>
    <w:sectPr w:rsidR="00144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B3608B"/>
    <w:multiLevelType w:val="multilevel"/>
    <w:tmpl w:val="0C6C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306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DB4"/>
    <w:rsid w:val="00011572"/>
    <w:rsid w:val="00144B57"/>
    <w:rsid w:val="00725FEF"/>
    <w:rsid w:val="008B5DB4"/>
    <w:rsid w:val="00996D21"/>
    <w:rsid w:val="00D7190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0456D"/>
  <w15:chartTrackingRefBased/>
  <w15:docId w15:val="{987A9C81-EAB3-489D-A8FE-221581EFF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5545930">
      <w:bodyDiv w:val="1"/>
      <w:marLeft w:val="0"/>
      <w:marRight w:val="0"/>
      <w:marTop w:val="0"/>
      <w:marBottom w:val="0"/>
      <w:divBdr>
        <w:top w:val="none" w:sz="0" w:space="0" w:color="auto"/>
        <w:left w:val="none" w:sz="0" w:space="0" w:color="auto"/>
        <w:bottom w:val="none" w:sz="0" w:space="0" w:color="auto"/>
        <w:right w:val="none" w:sz="0" w:space="0" w:color="auto"/>
      </w:divBdr>
      <w:divsChild>
        <w:div w:id="1480345818">
          <w:marLeft w:val="0"/>
          <w:marRight w:val="0"/>
          <w:marTop w:val="150"/>
          <w:marBottom w:val="0"/>
          <w:divBdr>
            <w:top w:val="none" w:sz="0" w:space="0" w:color="auto"/>
            <w:left w:val="none" w:sz="0" w:space="0" w:color="auto"/>
            <w:bottom w:val="none" w:sz="0" w:space="0" w:color="auto"/>
            <w:right w:val="none" w:sz="0" w:space="0" w:color="auto"/>
          </w:divBdr>
        </w:div>
        <w:div w:id="1310480673">
          <w:marLeft w:val="0"/>
          <w:marRight w:val="0"/>
          <w:marTop w:val="0"/>
          <w:marBottom w:val="0"/>
          <w:divBdr>
            <w:top w:val="none" w:sz="0" w:space="0" w:color="auto"/>
            <w:left w:val="none" w:sz="0" w:space="0" w:color="auto"/>
            <w:bottom w:val="none" w:sz="0" w:space="0" w:color="auto"/>
            <w:right w:val="none" w:sz="0" w:space="0" w:color="auto"/>
          </w:divBdr>
          <w:divsChild>
            <w:div w:id="1941914214">
              <w:marLeft w:val="0"/>
              <w:marRight w:val="0"/>
              <w:marTop w:val="0"/>
              <w:marBottom w:val="0"/>
              <w:divBdr>
                <w:top w:val="none" w:sz="0" w:space="0" w:color="auto"/>
                <w:left w:val="none" w:sz="0" w:space="0" w:color="auto"/>
                <w:bottom w:val="none" w:sz="0" w:space="0" w:color="auto"/>
                <w:right w:val="none" w:sz="0" w:space="0" w:color="auto"/>
              </w:divBdr>
              <w:divsChild>
                <w:div w:id="210641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du Plooy</dc:creator>
  <cp:keywords/>
  <dc:description/>
  <cp:lastModifiedBy>Douglas Sloan</cp:lastModifiedBy>
  <cp:revision>2</cp:revision>
  <dcterms:created xsi:type="dcterms:W3CDTF">2024-11-27T13:58:00Z</dcterms:created>
  <dcterms:modified xsi:type="dcterms:W3CDTF">2024-11-27T13:58:00Z</dcterms:modified>
</cp:coreProperties>
</file>